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jc w:val="right"/>
        <w:textAlignment w:val="baseline"/>
        <w:rPr>
          <w:color w:val="auto"/>
        </w:rPr>
      </w:pPr>
      <w:r>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t>玉</w:t>
      </w:r>
      <w:r>
        <w:rPr>
          <w:rFonts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t>民函〔</w:t>
      </w:r>
      <w:r>
        <w:rPr>
          <w:rFonts w:hint="default" w:ascii="Times New Roman" w:hAnsi="Times New Roman" w:eastAsia="宋体" w:cs="Times New Roman"/>
          <w:i w:val="0"/>
          <w:caps w:val="0"/>
          <w:color w:val="auto"/>
          <w:spacing w:val="0"/>
          <w:kern w:val="0"/>
          <w:sz w:val="32"/>
          <w:szCs w:val="32"/>
          <w:shd w:val="clear" w:color="auto" w:fill="FFFFFF"/>
          <w:vertAlign w:val="baseline"/>
          <w:lang w:val="en-US" w:eastAsia="zh-CN" w:bidi="ar"/>
        </w:rPr>
        <w:t>202</w:t>
      </w:r>
      <w:r>
        <w:rPr>
          <w:rFonts w:hint="eastAsia" w:ascii="Times New Roman" w:hAnsi="Times New Roman" w:cs="Times New Roman"/>
          <w:i w:val="0"/>
          <w:caps w:val="0"/>
          <w:color w:val="auto"/>
          <w:spacing w:val="0"/>
          <w:kern w:val="0"/>
          <w:sz w:val="32"/>
          <w:szCs w:val="32"/>
          <w:shd w:val="clear" w:color="auto" w:fill="FFFFFF"/>
          <w:vertAlign w:val="baseline"/>
          <w:lang w:val="en-US" w:eastAsia="zh-CN" w:bidi="ar"/>
        </w:rPr>
        <w:t>6</w:t>
      </w:r>
      <w:r>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t>〕</w:t>
      </w:r>
      <w:r>
        <w:rPr>
          <w:rFonts w:hint="eastAsia" w:ascii="Times New Roman" w:hAnsi="Times New Roman" w:cs="Times New Roman"/>
          <w:i w:val="0"/>
          <w:caps w:val="0"/>
          <w:color w:val="auto"/>
          <w:spacing w:val="0"/>
          <w:kern w:val="0"/>
          <w:sz w:val="32"/>
          <w:szCs w:val="32"/>
          <w:shd w:val="clear" w:color="auto" w:fill="FFFFFF"/>
          <w:vertAlign w:val="baseline"/>
          <w:lang w:val="en-US" w:eastAsia="zh-CN" w:bidi="ar"/>
        </w:rPr>
        <w:t>3</w:t>
      </w:r>
      <w:r>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玉林市民政局</w:t>
      </w:r>
      <w:r>
        <w:rPr>
          <w:rFonts w:hint="eastAsia" w:ascii="方正小标宋_GBK" w:hAnsi="方正小标宋_GBK" w:eastAsia="方正小标宋_GBK" w:cs="方正小标宋_GBK"/>
          <w:color w:val="auto"/>
          <w:sz w:val="44"/>
          <w:szCs w:val="44"/>
        </w:rPr>
        <w:t>关于开展全</w:t>
      </w:r>
      <w:r>
        <w:rPr>
          <w:rFonts w:hint="eastAsia" w:ascii="方正小标宋_GBK" w:hAnsi="方正小标宋_GBK" w:eastAsia="方正小标宋_GBK" w:cs="方正小标宋_GBK"/>
          <w:color w:val="auto"/>
          <w:sz w:val="44"/>
          <w:szCs w:val="44"/>
          <w:lang w:eastAsia="zh-CN"/>
        </w:rPr>
        <w:t>市</w:t>
      </w:r>
      <w:r>
        <w:rPr>
          <w:rFonts w:hint="eastAsia" w:ascii="方正小标宋_GBK" w:hAnsi="方正小标宋_GBK" w:eastAsia="方正小标宋_GBK" w:cs="方正小标宋_GBK"/>
          <w:color w:val="auto"/>
          <w:sz w:val="44"/>
          <w:szCs w:val="44"/>
        </w:rPr>
        <w:t>性社会团体、民办非企业单位202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年度检查的通知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jc w:val="right"/>
        <w:textAlignment w:val="baseline"/>
        <w:rPr>
          <w:color w:val="auto"/>
        </w:rPr>
      </w:pPr>
      <w:bookmarkStart w:id="0" w:name="正文"/>
      <w:bookmarkEnd w:id="0"/>
      <w:r>
        <w:rPr>
          <w:rFonts w:hint="eastAsia" w:ascii="Times New Roman" w:hAnsi="Times New Roman" w:eastAsia="方正仿宋_GBK" w:cs="Times New Roman"/>
          <w:i w:val="0"/>
          <w:caps w:val="0"/>
          <w:color w:val="auto"/>
          <w:spacing w:val="0"/>
          <w:sz w:val="27"/>
          <w:szCs w:val="27"/>
          <w:shd w:val="clear" w:color="auto" w:fill="FFFFFF"/>
          <w:vertAlign w:val="baseline"/>
          <w:lang w:val="en-US" w:eastAsia="zh-CN"/>
        </w:rPr>
        <w:t xml:space="preserve"> </w:t>
      </w:r>
      <w:r>
        <w:rPr>
          <w:rFonts w:hint="default" w:ascii="Times New Roman" w:hAnsi="Times New Roman" w:eastAsia="方正小标宋_GBK" w:cs="Times New Roman"/>
          <w:i w:val="0"/>
          <w:caps w:val="0"/>
          <w:color w:val="auto"/>
          <w:spacing w:val="0"/>
          <w:kern w:val="0"/>
          <w:sz w:val="32"/>
          <w:szCs w:val="32"/>
          <w:shd w:val="clear" w:color="auto" w:fill="FFFFFF"/>
          <w:vertAlign w:val="baseline"/>
          <w:lang w:val="en-US" w:eastAsia="zh-CN" w:bidi="ar"/>
        </w:rPr>
        <w:t>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各有关业务主管单位、行业管理部门，各全市性社会团体、民办非企业单位：</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依据国务院《社会团体登记管理条例》《民办非企业单位登记管理暂行条例》</w:t>
      </w:r>
      <w:r>
        <w:rPr>
          <w:rFonts w:ascii="方正仿宋_GBK" w:hAnsi="方正仿宋_GBK" w:eastAsia="方正仿宋_GBK" w:cs="方正仿宋_GBK"/>
          <w:i w:val="0"/>
          <w:caps w:val="0"/>
          <w:color w:val="auto"/>
          <w:spacing w:val="0"/>
          <w:kern w:val="0"/>
          <w:sz w:val="32"/>
          <w:szCs w:val="32"/>
          <w:shd w:val="clear" w:fill="FFFFFF"/>
          <w:lang w:val="en-US" w:eastAsia="zh-CN" w:bidi="ar"/>
        </w:rPr>
        <w:t>《社会团体年度检查办法》《民办非企业单位年度检查办法》等</w:t>
      </w:r>
      <w:r>
        <w:rPr>
          <w:rFonts w:hint="eastAsia" w:ascii="仿宋_GB2312" w:hAnsi="仿宋_GB2312" w:eastAsia="仿宋_GB2312" w:cs="仿宋_GB2312"/>
          <w:color w:val="auto"/>
          <w:sz w:val="32"/>
          <w:szCs w:val="32"/>
          <w:lang w:val="en-US" w:eastAsia="zh-CN"/>
        </w:rPr>
        <w:t>有关规定，玉林市民政局决定开展全市性社会团体、民办非企业单位</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年度检查（以下简称年检）。请各全市性社会团体、民办非企业单位高度重视年检工作，按规定参加年检，真实、准确、完整填报年检材料。玉林市民政局将结合日常管理中发现的问题，综合研究确定社会组织年检结论；对年检中发现的问题，要求进行限期整改；对虚假填报和未按期报送年检材料的，将依法依规进行处理。</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各业务主管单位、行业管理部门切实履行监督管理职责，督促主管的社会团体、民办非企业单位按时报送年检材料，并在收到年检材料后及时出具意见，为社会团体、民办非企业单位后续向登记管理机关提交年检材料预留充足时间，确保整体工作按期完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社会团体不需提供2025年度财务审计报告。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640"/>
        <w:jc w:val="left"/>
        <w:textAlignment w:val="baseline"/>
        <w:rPr>
          <w:color w:val="auto"/>
        </w:rPr>
      </w:pPr>
      <w:r>
        <w:rPr>
          <w:rFonts w:hint="default" w:ascii="Times New Roman" w:hAnsi="Times New Roman" w:eastAsia="宋体" w:cs="Times New Roman"/>
          <w:i w:val="0"/>
          <w:caps w:val="0"/>
          <w:color w:val="auto"/>
          <w:spacing w:val="0"/>
          <w:kern w:val="0"/>
          <w:sz w:val="32"/>
          <w:szCs w:val="32"/>
          <w:shd w:val="clear" w:color="auto" w:fill="FFFFFF"/>
          <w:vertAlign w:val="baseline"/>
          <w:lang w:val="en-US" w:eastAsia="zh-CN" w:bidi="ar"/>
        </w:rPr>
        <w:t> </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附件：1.全市性社会团体、民办非企业单位</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5年度检查须知</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2.社会组织年检审查标准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3.有关业务主管单位、行业管理部门名单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jc w:val="left"/>
        <w:textAlignment w:val="baseline"/>
        <w:rPr>
          <w:color w:val="auto"/>
        </w:rPr>
      </w:pPr>
      <w:r>
        <w:rPr>
          <w:rFonts w:hint="default" w:ascii="Times New Roman" w:hAnsi="Times New Roman" w:eastAsia="宋体" w:cs="Times New Roman"/>
          <w:i w:val="0"/>
          <w:caps w:val="0"/>
          <w:color w:val="auto"/>
          <w:spacing w:val="0"/>
          <w:kern w:val="0"/>
          <w:sz w:val="32"/>
          <w:szCs w:val="32"/>
          <w:shd w:val="clear" w:color="auto"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jc w:val="left"/>
        <w:textAlignment w:val="baseline"/>
        <w:rPr>
          <w:color w:val="auto"/>
        </w:rPr>
      </w:pPr>
      <w:r>
        <w:rPr>
          <w:rFonts w:hint="default" w:ascii="Times New Roman" w:hAnsi="Times New Roman" w:eastAsia="宋体" w:cs="Times New Roman"/>
          <w:i w:val="0"/>
          <w:caps w:val="0"/>
          <w:color w:val="auto"/>
          <w:spacing w:val="0"/>
          <w:kern w:val="0"/>
          <w:sz w:val="32"/>
          <w:szCs w:val="32"/>
          <w:shd w:val="clear" w:color="auto" w:fill="FFFFFF"/>
          <w:vertAlign w:val="baseline"/>
          <w:lang w:val="en-US" w:eastAsia="zh-CN" w:bidi="ar"/>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玉林市民政局</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6年1月30日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color w:val="auto"/>
        </w:rPr>
      </w:pPr>
      <w:r>
        <w:rPr>
          <w:rFonts w:hint="default" w:ascii="Times New Roman" w:hAnsi="Times New Roman" w:eastAsia="宋体" w:cs="Times New Roman"/>
          <w:i w:val="0"/>
          <w:caps w:val="0"/>
          <w:color w:val="auto"/>
          <w:spacing w:val="0"/>
          <w:kern w:val="0"/>
          <w:sz w:val="32"/>
          <w:szCs w:val="32"/>
          <w:shd w:val="clear" w:color="auto"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4" w:lineRule="atLeast"/>
        <w:ind w:left="0" w:right="0" w:firstLine="320"/>
        <w:jc w:val="left"/>
        <w:textAlignment w:val="baseline"/>
        <w:rPr>
          <w:rFonts w:hint="eastAsia" w:ascii="方正仿宋_GBK" w:hAnsi="方正仿宋_GBK" w:eastAsia="方正仿宋_GBK" w:cs="方正仿宋_GBK"/>
          <w:i w:val="0"/>
          <w:caps w:val="0"/>
          <w:color w:val="auto"/>
          <w:spacing w:val="0"/>
          <w:kern w:val="0"/>
          <w:sz w:val="32"/>
          <w:szCs w:val="32"/>
          <w:shd w:val="clear" w:color="auto" w:fill="FFFFFF"/>
          <w:vertAlign w:val="baseli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textAlignment w:val="baseline"/>
        <w:rPr>
          <w:color w:val="auto"/>
        </w:rPr>
      </w:pPr>
      <w:r>
        <w:rPr>
          <w:rFonts w:hint="default" w:ascii="Times New Roman" w:hAnsi="Times New Roman" w:eastAsia="宋体" w:cs="Times New Roman"/>
          <w:i w:val="0"/>
          <w:caps w:val="0"/>
          <w:color w:val="auto"/>
          <w:spacing w:val="0"/>
          <w:kern w:val="0"/>
          <w:sz w:val="32"/>
          <w:szCs w:val="32"/>
          <w:shd w:val="clear" w:color="auto" w:fill="FFFFFF"/>
          <w:vertAlign w:val="baseli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caps w:val="0"/>
          <w:color w:val="auto"/>
          <w:spacing w:val="0"/>
          <w:kern w:val="0"/>
          <w:sz w:val="44"/>
          <w:szCs w:val="44"/>
          <w:shd w:val="clear" w:color="auto" w:fill="FFFFFF"/>
          <w:vertAlign w:val="baseline"/>
          <w:lang w:val="en-US" w:eastAsia="zh-CN" w:bidi="ar"/>
        </w:rPr>
        <w:t>全市性社会团体、民办非企业单位2025年度检查须知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textAlignment w:val="baseline"/>
        <w:rPr>
          <w:color w:val="auto"/>
        </w:rPr>
      </w:pPr>
      <w:r>
        <w:rPr>
          <w:rFonts w:hint="default" w:ascii="Times New Roman" w:hAnsi="Times New Roman" w:eastAsia="宋体" w:cs="Times New Roman"/>
          <w:i w:val="0"/>
          <w:caps w:val="0"/>
          <w:color w:val="auto"/>
          <w:spacing w:val="0"/>
          <w:kern w:val="0"/>
          <w:sz w:val="32"/>
          <w:szCs w:val="32"/>
          <w:shd w:val="clear" w:color="auto" w:fill="FFFFFF"/>
          <w:vertAlign w:val="baseli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color="auto" w:fill="FFFFFF"/>
          <w:vertAlign w:val="baseline"/>
          <w:lang w:val="en-US" w:eastAsia="zh-CN" w:bidi="ar"/>
        </w:rPr>
        <w:t>一、年检范围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5年6月30日前在玉林市民政局注册登记的社会团体、民办非企业单位（慈善组织除外，以下简称“参检单位”），应当参加年检。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黑体" w:hAnsi="黑体" w:eastAsia="黑体" w:cs="黑体"/>
          <w:i w:val="0"/>
          <w:caps w:val="0"/>
          <w:color w:val="auto"/>
          <w:spacing w:val="0"/>
          <w:kern w:val="0"/>
          <w:sz w:val="32"/>
          <w:szCs w:val="32"/>
          <w:shd w:val="clear" w:color="auto" w:fill="FFFFFF"/>
          <w:vertAlign w:val="baseline"/>
          <w:lang w:val="en-US" w:eastAsia="zh-CN" w:bidi="ar"/>
        </w:rPr>
      </w:pPr>
      <w:r>
        <w:rPr>
          <w:rFonts w:hint="eastAsia" w:ascii="黑体" w:hAnsi="黑体" w:eastAsia="黑体" w:cs="黑体"/>
          <w:i w:val="0"/>
          <w:caps w:val="0"/>
          <w:color w:val="auto"/>
          <w:spacing w:val="0"/>
          <w:kern w:val="0"/>
          <w:sz w:val="32"/>
          <w:szCs w:val="32"/>
          <w:shd w:val="clear" w:color="auto" w:fill="FFFFFF"/>
          <w:vertAlign w:val="baseline"/>
          <w:lang w:val="en-US" w:eastAsia="zh-CN" w:bidi="ar"/>
        </w:rPr>
        <w:t>二、年检内容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（一）遵守法律法规和有关政策情况；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（二）履行登记事项变更登记手续和章程核准情况；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（三）按章程开展业务活动情况；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（四）党组织建设和党的工作开展情况；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（五）负责人和从业人员情况；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（六）机构设置以及变动情况；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（七）财务状况、资金来源和使用情况；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（八）其他需要检查的有关情况。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三、年检填报要求和流程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（一）网上填报年检材料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填报《2025年度检查报告书》。即日起至2026年3月31日前，参检单位在广西社会组织网（http://shzz.mzt.gxzf.gov.cn/）首页“我要办-广西社会组织日常事务平台”栏目，输入用户名和密码登录，点击菜单栏“网上年检系统”（首次参检单位须先注册“法人登录”方可登录系统），在线填报《2025年度检查报告书》并提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2.上传《2025年度财务审计报告》。参检单位中的民办非企业单位应上传经会计师事务所出具的2025年度财务审计报告（2024年、2025年评估为5A、4A等级的民办非企业单位除外），</w:t>
      </w:r>
      <w:r>
        <w:rPr>
          <w:rFonts w:hint="eastAsia" w:ascii="仿宋_GB2312" w:hAnsi="仿宋_GB2312" w:eastAsia="仿宋_GB2312" w:cs="仿宋_GB2312"/>
          <w:b/>
          <w:bCs/>
          <w:color w:val="auto"/>
          <w:sz w:val="32"/>
          <w:szCs w:val="32"/>
          <w:lang w:val="en-US" w:eastAsia="zh-CN"/>
        </w:rPr>
        <w:t>《2025年度财务审计报告》应按年度审计报告模板要求列明要素。《2025年度民办非企业单位财务审计报告模板》在广西社会组织网“我要办-表格下载”中下载。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上传公益性捐赠税前扣除相关材料。已获得公益性捐赠税前扣除资格的参检单位，应报送经会计师事务所审计的上年度专项信息报告；首次确认公益性捐赠税前扣除资格的参检单位，应报送经会计师事务所审计的前两个年度的专项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玉林市民政局对参检单位在线填报的《</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5年度检查报告书》进行网上预审，在年检信息平台反馈预审情况。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（二）准备年检纸质材料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1.2025年度检查报告书。参检单位在预审通过后，通过“网上年检系统”打印《2025年度检查报告书》一式一份交法定代表人、监事签字、加盖社会组织公章后，送业务主管单位初审或送行业管理部门出具监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务主管单位在《2025年度检查报告书》的“年检审查页”中“业务主管单位初审意见”中载明初审意见并加盖公章。行业管理部门在《2025年度检查报告书》的“年检审查页”中“行业管理部门监管意见”中反馈监管意见并加盖公章。</w:t>
      </w:r>
      <w:r>
        <w:rPr>
          <w:rFonts w:hint="eastAsia" w:ascii="仿宋_GB2312" w:hAnsi="仿宋_GB2312" w:eastAsia="仿宋_GB2312" w:cs="仿宋_GB2312"/>
          <w:b w:val="0"/>
          <w:bCs w:val="0"/>
          <w:color w:val="auto"/>
          <w:sz w:val="32"/>
          <w:szCs w:val="32"/>
          <w:lang w:val="en-US" w:eastAsia="zh-CN"/>
        </w:rPr>
        <w:t>意见分“合格”“基本合格”“不合格”三种，给予“基本合格”“不合格”的，请业务主管单位或行业管理部门在意见栏里注明理由</w:t>
      </w:r>
      <w:r>
        <w:rPr>
          <w:rFonts w:hint="eastAsia" w:ascii="仿宋_GB2312" w:hAnsi="仿宋_GB2312" w:eastAsia="仿宋_GB2312" w:cs="仿宋_GB2312"/>
          <w:color w:val="auto"/>
          <w:sz w:val="32"/>
          <w:szCs w:val="32"/>
          <w:lang w:val="en-US" w:eastAsia="zh-CN"/>
        </w:rPr>
        <w:t>。直接登记的参检社会组织按“报送纸质材料”要求向我局报送《2025年度检查报告书》。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2.《社会团体法人登记证书》（副本）或《民办非企业单位登记证书》（副本）原件。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xml:space="preserve">民办非企业单位需要提交与“网上年检系统”一致的《2025年度财务审计报告》原件一式一份。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属于前置审批类的民办非企业单位需带上相应的许可证或备案确认文件原件及一份复印件，且证件应在有效期内（如民办学校《办学许可证》、民办医院《医疗机构执业许可证》、民办博物馆《博物馆设立备案确认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5.整改报告。2024年度年检结论为“基本合格”或“不合格”的参检单位，按整改通知书要求报送经业务主管单位或行业管理部门同意的整改报告情况一式一份。已按要求提交整改报告至我局的无需重复提交。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未按时完成年检的社会团体和民办非企业单位，要报送2024年度检查报告书、整改报告（包括未参检原因、整改措施、整改完成情况等）和财务审计报告（民办非企业单位提供）或银行流水对账单（社会团体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6.上传公益性捐赠税前扣除相关材料的参检单位，应准备与“网上年检系统”一致的相关材料原件一式一份。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7.根据工作需要，我局要求参检单位提交有关事项的情况说明和必要的补充材料。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以上年检纸质材料原件一式一份应送登记管理机关审核，业务主管单位或行业管理部门需要留存的，参检单位应按要求提供。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eastAsia" w:ascii="楷体_GB2312" w:hAnsi="楷体_GB2312" w:eastAsia="楷体_GB2312" w:cs="楷体_GB2312"/>
          <w:i w:val="0"/>
          <w:caps w:val="0"/>
          <w:color w:val="auto"/>
          <w:spacing w:val="0"/>
          <w:kern w:val="0"/>
          <w:sz w:val="32"/>
          <w:szCs w:val="32"/>
          <w:shd w:val="clear" w:color="auto" w:fill="FFFFFF"/>
          <w:vertAlign w:val="baseline"/>
          <w:lang w:val="en-US" w:eastAsia="zh-CN" w:bidi="ar"/>
        </w:rPr>
      </w:pPr>
      <w:r>
        <w:rPr>
          <w:rFonts w:hint="eastAsia" w:ascii="楷体_GB2312" w:hAnsi="楷体_GB2312" w:eastAsia="楷体_GB2312" w:cs="楷体_GB2312"/>
          <w:i w:val="0"/>
          <w:caps w:val="0"/>
          <w:color w:val="auto"/>
          <w:spacing w:val="0"/>
          <w:kern w:val="0"/>
          <w:sz w:val="32"/>
          <w:szCs w:val="32"/>
          <w:shd w:val="clear" w:color="auto" w:fill="FFFFFF"/>
          <w:vertAlign w:val="baseline"/>
          <w:lang w:val="en-US" w:eastAsia="zh-CN" w:bidi="ar"/>
        </w:rPr>
        <w:t>（三）报送年检纸质材料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2026年5月31日前，参检单位应当将业务主管单位出具初审意见或行业管理部门出具监管意见的年检纸质材料，报送至玉林市政务服务中心三楼民政窗口。可采取现场前往和邮寄两种方式，通过邮寄方式报送的，须在信封明显处注明“社会组织年检材料”。地址：玉林市玉东新区秀水北路2号玉林市政务服务中心三楼民政窗口101-102号。邮编：537000。咨询电话：0775-2670380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报送纸质材料的截止时间为2026年5月31日（邮寄提交时间以邮戳发出时间为准），逾期未报送年检纸质材料的参检单位，我</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不再接收材料，按照“不按照规定接受监督检查”处理。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baseline"/>
        <w:rPr>
          <w:rFonts w:hint="default" w:ascii="楷体_GB2312" w:hAnsi="楷体_GB2312" w:eastAsia="楷体_GB2312" w:cs="楷体_GB2312"/>
          <w:i w:val="0"/>
          <w:caps w:val="0"/>
          <w:color w:val="auto"/>
          <w:spacing w:val="0"/>
          <w:kern w:val="0"/>
          <w:sz w:val="32"/>
          <w:szCs w:val="32"/>
          <w:shd w:val="clear" w:color="auto" w:fill="FFFFFF"/>
          <w:vertAlign w:val="baseline"/>
          <w:lang w:val="en-US" w:eastAsia="zh-CN" w:bidi="ar"/>
        </w:rPr>
      </w:pPr>
      <w:r>
        <w:rPr>
          <w:rFonts w:hint="default" w:ascii="楷体_GB2312" w:hAnsi="楷体_GB2312" w:eastAsia="楷体_GB2312" w:cs="楷体_GB2312"/>
          <w:i w:val="0"/>
          <w:caps w:val="0"/>
          <w:color w:val="auto"/>
          <w:spacing w:val="0"/>
          <w:kern w:val="0"/>
          <w:sz w:val="32"/>
          <w:szCs w:val="32"/>
          <w:shd w:val="clear" w:color="auto" w:fill="FFFFFF"/>
          <w:vertAlign w:val="baseline"/>
          <w:lang w:val="en-US" w:eastAsia="zh-CN" w:bidi="ar"/>
        </w:rPr>
        <w:t>（四）年检材料修改与补充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网上年检系统”的修改。年检材料在参检单位线上提交年检材料审核后不再退回修改，确有需要修改事项的，参检单位需在系统填写《社会组织年检信息修改申请表》，经业务主管单位或行业管理部门审查同意后，可线上提交申请修改相关材料一次。直接报送的参检单位线上提交年检材料审核后，确有修改事项的，需填写《社会组织年检信息修改申请表》，可线上提交申请修改相关材料一次。线上提交申请通过后10个工作日内予以补正相关纸质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2.纸质材料补充。我</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对参检单位报送的线上、纸质年检材料进行审查，经审核不符合要求的，参检单位应在接到通知之日起10个工作日内予以补正。</w:t>
      </w:r>
    </w:p>
    <w:p>
      <w:pPr>
        <w:keepNext w:val="0"/>
        <w:keepLines w:val="0"/>
        <w:widowControl/>
        <w:suppressLineNumbers w:val="0"/>
        <w:ind w:firstLine="640" w:firstLineChars="200"/>
        <w:jc w:val="left"/>
        <w:rPr>
          <w:rFonts w:ascii="方正楷体_GBK" w:hAnsi="方正楷体_GBK" w:eastAsia="方正楷体_GBK" w:cs="方正楷体_GBK"/>
          <w:i w:val="0"/>
          <w:caps w:val="0"/>
          <w:color w:val="auto"/>
          <w:spacing w:val="0"/>
          <w:kern w:val="0"/>
          <w:sz w:val="32"/>
          <w:szCs w:val="32"/>
          <w:shd w:val="clear" w:fill="FFFFFF"/>
          <w:lang w:val="en-US" w:eastAsia="zh-CN" w:bidi="ar"/>
        </w:rPr>
      </w:pPr>
      <w:r>
        <w:rPr>
          <w:rFonts w:ascii="方正楷体_GBK" w:hAnsi="方正楷体_GBK" w:eastAsia="方正楷体_GBK" w:cs="方正楷体_GBK"/>
          <w:i w:val="0"/>
          <w:caps w:val="0"/>
          <w:color w:val="auto"/>
          <w:spacing w:val="0"/>
          <w:kern w:val="0"/>
          <w:sz w:val="32"/>
          <w:szCs w:val="32"/>
          <w:shd w:val="clear" w:fill="FFFFFF"/>
          <w:lang w:val="en-US" w:eastAsia="zh-CN" w:bidi="ar"/>
        </w:rPr>
        <w:t>（五）年检方式</w:t>
      </w:r>
      <w:r>
        <w:rPr>
          <w:rFonts w:hint="eastAsia" w:ascii="方正楷体_GBK" w:hAnsi="方正楷体_GBK" w:eastAsia="方正楷体_GBK" w:cs="方正楷体_GBK"/>
          <w:i w:val="0"/>
          <w:caps w:val="0"/>
          <w:color w:val="auto"/>
          <w:spacing w:val="0"/>
          <w:kern w:val="0"/>
          <w:sz w:val="32"/>
          <w:szCs w:val="32"/>
          <w:shd w:val="clear" w:fill="FFFFFF"/>
          <w:lang w:val="en-US" w:eastAsia="zh-CN" w:bidi="ar"/>
        </w:rPr>
        <w:t>和结论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1.年检结论分为“合格”“基本合格”“不合格”三个等次，有关认定标准见附件2。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2.我局依据社会组织相关法规政策，对参检单位提交的线上、纸质年检材料进行审核，并结合抽查审计、实地检查和其他问题线索等核实情况，综合研究确定参检单位的年检结论。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3.发布年检结论公告。2026年9月30日前，我局将通过玉林市民政局网站、玉林市民政局微信公众号分批次发布参检单位的年检结论公告。参检单位可在广西社会组织网</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我要查</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年检年报结果查询</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中查询年检结论。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4.对存在的违规情形及时完成整改的参检单位，在年检时可以视情节从轻或者免予处理。参检单位年检结论公布后，如发现存在影响当年年检结论情形的，年检结论将予以重新确定并公示公告。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年检问题整改或行政处罚。年检结论为“基本合格”“不合格”的参检单位，我局将下发《限期整改通知书》，参检单位应按要求完成整改，未按期完成整改的，将按照社会组织信用信息管理相关规定处理，并向社会公布；存在《社会团体登记管理条例》《民办非企业单位登记管理暂行条例》等有关规定情形的，将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参检单位可通过玉林市民政局网站、玉林市民政局微信公众号查询发布的有关年检最新通知，其他问题可通过以下方式咨询：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（一）年检填报业务咨询：0775-2671790、2669612。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（二）玉林市社会组织交流群QQ号：547408057。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（三）年检填报系统技术支持。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1.联系电话：400-0628-1000（统一客服热线）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2.年检技术服务企业微信公众号-“在线客服”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宋体" w:cs="Times New Roman"/>
          <w:b/>
          <w:bCs/>
          <w:i w:val="0"/>
          <w:caps w:val="0"/>
          <w:color w:val="auto"/>
          <w:spacing w:val="0"/>
          <w:kern w:val="0"/>
          <w:sz w:val="32"/>
          <w:szCs w:val="32"/>
          <w:shd w:val="clear" w:color="auto" w:fill="FFFFFF"/>
          <w:vertAlign w:val="baseline"/>
          <w:lang w:val="en-US" w:eastAsia="zh-CN" w:bidi="ar"/>
        </w:rPr>
        <w:t> </w:t>
      </w:r>
      <w:r>
        <w:rPr>
          <w:rFonts w:hint="eastAsia" w:ascii="仿宋_GB2312" w:hAnsi="仿宋_GB2312" w:eastAsia="仿宋_GB2312" w:cs="仿宋_GB2312"/>
          <w:b/>
          <w:bCs/>
          <w:color w:val="auto"/>
          <w:sz w:val="32"/>
          <w:szCs w:val="32"/>
          <w:lang w:val="en-US" w:eastAsia="zh-CN"/>
        </w:rPr>
        <w:t>年检技术服务企业微信公众号二维码：</w:t>
      </w:r>
    </w:p>
    <w:p>
      <w:pPr>
        <w:rPr>
          <w:color w:val="auto"/>
        </w:rPr>
      </w:pPr>
      <w:r>
        <w:rPr>
          <w:rFonts w:ascii="宋体" w:hAnsi="宋体" w:eastAsia="宋体" w:cs="宋体"/>
          <w:color w:val="auto"/>
          <w:kern w:val="0"/>
          <w:sz w:val="24"/>
          <w:szCs w:val="24"/>
          <w:lang w:val="en-US" w:eastAsia="zh-CN" w:bidi="ar"/>
        </w:rPr>
        <w:drawing>
          <wp:inline distT="0" distB="0" distL="114300" distR="114300">
            <wp:extent cx="1860550" cy="1917700"/>
            <wp:effectExtent l="0" t="0" r="6350" b="635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5"/>
                    <a:stretch>
                      <a:fillRect/>
                    </a:stretch>
                  </pic:blipFill>
                  <pic:spPr>
                    <a:xfrm>
                      <a:off x="0" y="0"/>
                      <a:ext cx="1860550" cy="1917700"/>
                    </a:xfrm>
                    <a:prstGeom prst="rect">
                      <a:avLst/>
                    </a:prstGeom>
                    <a:noFill/>
                    <a:ln>
                      <a:noFill/>
                    </a:ln>
                  </pic:spPr>
                </pic:pic>
              </a:graphicData>
            </a:graphic>
          </wp:inline>
        </w:drawing>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附件2</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580" w:lineRule="atLeast"/>
        <w:ind w:left="0" w:right="0" w:firstLine="0"/>
        <w:jc w:val="center"/>
        <w:textAlignment w:val="baseline"/>
        <w:rPr>
          <w:color w:val="auto"/>
          <w:sz w:val="44"/>
          <w:szCs w:val="44"/>
        </w:rPr>
      </w:pPr>
      <w:r>
        <w:rPr>
          <w:rFonts w:ascii="方正小标宋_GBK" w:hAnsi="方正小标宋_GBK" w:eastAsia="方正小标宋_GBK" w:cs="方正小标宋_GBK"/>
          <w:color w:val="auto"/>
          <w:spacing w:val="0"/>
          <w:kern w:val="0"/>
          <w:sz w:val="44"/>
          <w:szCs w:val="44"/>
          <w:vertAlign w:val="baseline"/>
          <w:lang w:val="en-US" w:eastAsia="zh-CN" w:bidi="ar"/>
        </w:rPr>
        <w:t>社会组织年检审查标准</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580" w:lineRule="atLeast"/>
        <w:ind w:left="0" w:right="0" w:firstLine="640"/>
        <w:jc w:val="both"/>
        <w:textAlignment w:val="baseline"/>
        <w:rPr>
          <w:color w:val="auto"/>
        </w:rPr>
      </w:pPr>
      <w:r>
        <w:rPr>
          <w:rFonts w:hint="default" w:ascii="Times New Roman" w:hAnsi="Times New Roman" w:eastAsia="宋体" w:cs="Times New Roman"/>
          <w:b/>
          <w:color w:val="auto"/>
          <w:spacing w:val="0"/>
          <w:kern w:val="0"/>
          <w:sz w:val="32"/>
          <w:szCs w:val="32"/>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bidi w:val="0"/>
        <w:spacing w:before="0" w:beforeAutospacing="0" w:after="0" w:afterAutospacing="0" w:line="580" w:lineRule="atLeast"/>
        <w:ind w:left="0" w:right="0" w:firstLine="640"/>
        <w:jc w:val="both"/>
        <w:textAlignment w:val="baseline"/>
        <w:rPr>
          <w:rFonts w:hint="eastAsia" w:ascii="黑体" w:hAnsi="黑体" w:eastAsia="黑体" w:cs="黑体"/>
          <w:color w:val="auto"/>
          <w:sz w:val="32"/>
          <w:szCs w:val="32"/>
        </w:rPr>
      </w:pPr>
      <w:r>
        <w:rPr>
          <w:rFonts w:hint="eastAsia" w:ascii="黑体" w:hAnsi="黑体" w:eastAsia="黑体" w:cs="黑体"/>
          <w:color w:val="auto"/>
          <w:spacing w:val="0"/>
          <w:kern w:val="0"/>
          <w:sz w:val="32"/>
          <w:szCs w:val="32"/>
          <w:vertAlign w:val="baseline"/>
          <w:lang w:val="en-US" w:eastAsia="zh-CN" w:bidi="ar"/>
        </w:rPr>
        <w:t>一、社会团体年检审查标准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年检结论分为“合格”“基本合格”和“不合格”。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（一）社会团体内部管理规范，严格按照章程进行内部治理和开展活动，未发现存在违反社会团体登记管理有关法规政策规定的行为，年检结论确定为合格。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（二）社会团体有下列情形之一的，登记管理机关视情节轻重，分别作出“基本合格”“不合格”的年检结论：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未按规定建立党组织或开展党建工作的；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未将党的建设和社会主义核心价值观写入章程的；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不符合条例规定的法人成立条件的（如：个人会员和单位会员数量不符合要求、年末净资产低于注册资金、无与业务活动相适应的专职工作人员、无固定住所等）；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未按规定办理变更登记、章程核准的（如：法定代表人、住所、注册资金、业务活动范围变更等）；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超出章程规定的宗旨和业务范围开展活动的（如：违反规定开展评比达标表彰或创建示范活动、牵头成立非法社会组织或者与非法社会组织开展活动等）；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未按章程规定换届的（如：超期未换届，未经批准提前、延期换届等）；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未按章程规定召开会员（代表）大会、理事会的；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负责人管理违反有关规定的（如：负责人调整未完成备案、未经批准负责人超龄超届任职、负责人不符合相关任职条件等）；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设立或者管理分支机构、代表机构违反有关规定的；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财务管理或者资金来源、资产使用违反有关规定的（如：违反社会组织管理规定收取费用、未使用民间非营利组织会计制度、未按规定制定修改会费标准等）；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因内部管理混乱以致不能正常开展活动，或者开展活动造成不良社会影响的；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其他违反社会团体登记管理有关法律法规和国家政策规定的（如：不按规定接受或配合登记管理机关监督检查、未按规定完成整改等）。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（三）社会团体存在下列情形之一的，年检结论确定为“不合格”：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年检材料隐瞒真实情况、弄虚作假的（如：未通过“网上年检系统”打印提交《</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年度检查报告书》，《</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年度检查报告书》内容与实际不符等）；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上年度未开展任何业务活动的；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违背非营利宗旨开展活动的；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开展活动危害国家安全的。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二、民办非企业单位年检审查标准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民办非企业单位年检结论分为“合格”“基本合格”和“不合格”。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（一）民办非企业单位内部管理规范，严格按照章程进行内部治理和开展活动，未发现存在违反民办非企业单位登记管理有关法规政策规定的行为，年检结论确定为“合格”。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（二）发现民办非企业单位在</w:t>
      </w:r>
      <w:r>
        <w:rPr>
          <w:rFonts w:hint="default"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val="en-US" w:eastAsia="zh-CN"/>
        </w:rPr>
        <w:t>年度存在下列情形，情节较轻的，年检结论确定为“基本合格”；情节严重、影响恶劣的，年检结论确定为“不合格”：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应建未建党组织的；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未按要求将党的建设和社会主义核心价值观写入章程的；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不具备法律规定民办非企业单位法人基本条件的，包括没有与其业务活动相适应的从业人员、年末净资产为负数等情形；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未遵守非营利活动准则的；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违反规定使用登记证书、印章或者财务凭证的；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未开展业务活动的；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不按照章程规定进行活动的，包括超出章程规定的宗旨和业务范围开展活动、未按照章程规定召开理事会或未按期进行理事、监事换届等情形；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无固定住所或必要活动场所的；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内部管理混乱，不能正常开展活动的；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拒不接受或者不按照规定接受登记管理机关监督检查或年检的；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不按照规定办理变更登记，修改章程未按规定核准备案的；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设立分支机构的；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val="en-US" w:eastAsia="zh-CN"/>
        </w:rPr>
        <w:t>财务制度不健全，资金来源和使用违反有关规定的；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净资产低于国家有关行业主管部门规定的最低标准的；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侵占、私分、挪用民办非企业单位的资产或者所接受的捐赠、资助的；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val="en-US" w:eastAsia="zh-CN"/>
        </w:rPr>
        <w:t>违反国家有关规定收取费用、筹集资金或者接受使用捐赠、资助的；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val="en-US" w:eastAsia="zh-CN"/>
        </w:rPr>
        <w:t>年检中隐瞒真实情况，弄虚作假的；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val="en-US" w:eastAsia="zh-CN"/>
        </w:rPr>
        <w:t>未按时报送符合要求的年检材料，或者未按照登记管理机关要求对问题进行整改的；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lang w:val="en-US" w:eastAsia="zh-CN"/>
        </w:rPr>
        <w:t>负责人未经登记管理机关批准超龄、超届任职的，或者未按照规定办理负责人备案的；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其他违反国家法律法规政策规定和民办非企业单位章程行为的。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民办非企业单位在提交年检材料前，对存在的违规事项已经自查自纠、主动先行整改或经业务主管单位来函说明存在的问题确有特殊情况的，年检时可视情从轻或免予处理。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民办非企业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440" w:right="1746" w:bottom="1440"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E4581"/>
    <w:rsid w:val="10B77829"/>
    <w:rsid w:val="19FD6F99"/>
    <w:rsid w:val="1FC791A8"/>
    <w:rsid w:val="244BBC9A"/>
    <w:rsid w:val="2D7FE9C3"/>
    <w:rsid w:val="33F3D43F"/>
    <w:rsid w:val="36FF579C"/>
    <w:rsid w:val="3DEF6F87"/>
    <w:rsid w:val="3E5CF740"/>
    <w:rsid w:val="3E9F6E2D"/>
    <w:rsid w:val="468785AA"/>
    <w:rsid w:val="4FA80600"/>
    <w:rsid w:val="5FACBAB5"/>
    <w:rsid w:val="5FEB935B"/>
    <w:rsid w:val="5FF72736"/>
    <w:rsid w:val="66EF853C"/>
    <w:rsid w:val="67955B88"/>
    <w:rsid w:val="6DBFCE51"/>
    <w:rsid w:val="6EFFEB57"/>
    <w:rsid w:val="6FBF678A"/>
    <w:rsid w:val="71EB9DEF"/>
    <w:rsid w:val="77DF15F0"/>
    <w:rsid w:val="7AE5A771"/>
    <w:rsid w:val="7BFD8E99"/>
    <w:rsid w:val="7F5BAF09"/>
    <w:rsid w:val="7F7F88B1"/>
    <w:rsid w:val="7F87989B"/>
    <w:rsid w:val="7FDD5423"/>
    <w:rsid w:val="7FEFA4A0"/>
    <w:rsid w:val="94FE613B"/>
    <w:rsid w:val="9FA55D5C"/>
    <w:rsid w:val="A6FD20D4"/>
    <w:rsid w:val="AFFFC340"/>
    <w:rsid w:val="B6FB6A02"/>
    <w:rsid w:val="BBC7DA5A"/>
    <w:rsid w:val="BCE707DA"/>
    <w:rsid w:val="BEF35236"/>
    <w:rsid w:val="BF6941EA"/>
    <w:rsid w:val="BFBC40FE"/>
    <w:rsid w:val="BFBF4E29"/>
    <w:rsid w:val="CFEF8BDC"/>
    <w:rsid w:val="D763E2B2"/>
    <w:rsid w:val="DBFBE1A8"/>
    <w:rsid w:val="DD7F3762"/>
    <w:rsid w:val="DEFF0B14"/>
    <w:rsid w:val="EF5F5651"/>
    <w:rsid w:val="F3B7C224"/>
    <w:rsid w:val="F77E4B52"/>
    <w:rsid w:val="F77FAB32"/>
    <w:rsid w:val="F7BC53F6"/>
    <w:rsid w:val="F97F8D76"/>
    <w:rsid w:val="FAFFE587"/>
    <w:rsid w:val="FBF12E2D"/>
    <w:rsid w:val="FD6F11DF"/>
    <w:rsid w:val="FE5D723C"/>
    <w:rsid w:val="FECD5463"/>
    <w:rsid w:val="FED57AAF"/>
    <w:rsid w:val="FEDBE706"/>
    <w:rsid w:val="FF7A8B11"/>
    <w:rsid w:val="FF7E4581"/>
    <w:rsid w:val="FFDB8B48"/>
    <w:rsid w:val="FFDF1025"/>
    <w:rsid w:val="FFDFD753"/>
    <w:rsid w:val="FFEE22DF"/>
    <w:rsid w:val="FFF7362D"/>
    <w:rsid w:val="FFF9B593"/>
    <w:rsid w:val="FFFAB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2026-01-26T08:50:00Z</dcterms:created>
  <dc:creator>gxxc</dc:creator>
  <cp:lastModifiedBy>gxxc</cp:lastModifiedBy>
  <cp:lastPrinted>2026-01-30T23:58:00Z</cp:lastPrinted>
  <dcterms:modified xsi:type="dcterms:W3CDTF">2026-01-30T16:16:59Z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